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>PLAN ZAJĘĆ W RAMACH SPECJALIZACJI</w:t>
      </w:r>
    </w:p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 xml:space="preserve">Z PIELĘGNIARSTWA GINEKOLOGICZNO-POŁOŻNICZEGO </w:t>
      </w:r>
      <w:r w:rsidR="0004501B">
        <w:rPr>
          <w:rFonts w:ascii="Times New Roman" w:hAnsi="Times New Roman"/>
          <w:b/>
        </w:rPr>
        <w:t>84/GP/Po/21</w:t>
      </w:r>
    </w:p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 xml:space="preserve">w dniach </w:t>
      </w:r>
      <w:r w:rsidR="00B06627">
        <w:rPr>
          <w:rFonts w:ascii="Times New Roman" w:eastAsia="Calibri" w:hAnsi="Times New Roman" w:cs="Times New Roman"/>
          <w:b/>
        </w:rPr>
        <w:t>13</w:t>
      </w:r>
      <w:r w:rsidR="00F11047">
        <w:rPr>
          <w:rFonts w:ascii="Times New Roman" w:eastAsia="Calibri" w:hAnsi="Times New Roman" w:cs="Times New Roman"/>
          <w:b/>
        </w:rPr>
        <w:t xml:space="preserve"> </w:t>
      </w:r>
      <w:r w:rsidR="006C4810">
        <w:rPr>
          <w:rFonts w:ascii="Times New Roman" w:eastAsia="Calibri" w:hAnsi="Times New Roman" w:cs="Times New Roman"/>
          <w:b/>
        </w:rPr>
        <w:t>- 21</w:t>
      </w:r>
      <w:r w:rsidR="00B06627">
        <w:rPr>
          <w:rFonts w:ascii="Times New Roman" w:eastAsia="Calibri" w:hAnsi="Times New Roman" w:cs="Times New Roman"/>
          <w:b/>
        </w:rPr>
        <w:t>.11</w:t>
      </w:r>
      <w:r>
        <w:rPr>
          <w:rFonts w:ascii="Times New Roman" w:eastAsia="Calibri" w:hAnsi="Times New Roman" w:cs="Times New Roman"/>
          <w:b/>
        </w:rPr>
        <w:t>.2021</w:t>
      </w:r>
      <w:r w:rsidR="001A6E9A">
        <w:rPr>
          <w:rFonts w:ascii="Times New Roman" w:eastAsia="Calibri" w:hAnsi="Times New Roman" w:cs="Times New Roman"/>
          <w:b/>
        </w:rPr>
        <w:t>r</w:t>
      </w:r>
      <w:r w:rsidRPr="00A4548C">
        <w:rPr>
          <w:rFonts w:ascii="Times New Roman" w:eastAsia="Calibri" w:hAnsi="Times New Roman" w:cs="Times New Roman"/>
          <w:b/>
        </w:rPr>
        <w:t>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6"/>
        <w:gridCol w:w="1355"/>
        <w:gridCol w:w="6868"/>
        <w:gridCol w:w="1251"/>
        <w:gridCol w:w="1685"/>
        <w:gridCol w:w="924"/>
        <w:gridCol w:w="795"/>
      </w:tblGrid>
      <w:tr w:rsidR="00A4548C" w:rsidRPr="00A4548C" w:rsidTr="00560B90">
        <w:trPr>
          <w:jc w:val="center"/>
        </w:trPr>
        <w:tc>
          <w:tcPr>
            <w:tcW w:w="399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484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454" w:type="pct"/>
          </w:tcPr>
          <w:p w:rsidR="00A4548C" w:rsidRPr="009A42C4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A42C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Tematy zajęć</w:t>
            </w:r>
          </w:p>
        </w:tc>
        <w:tc>
          <w:tcPr>
            <w:tcW w:w="447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Osoba prowadząca</w:t>
            </w:r>
          </w:p>
        </w:tc>
        <w:tc>
          <w:tcPr>
            <w:tcW w:w="602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330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Forma</w:t>
            </w:r>
          </w:p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zajęć</w:t>
            </w:r>
          </w:p>
        </w:tc>
        <w:tc>
          <w:tcPr>
            <w:tcW w:w="284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godz.</w:t>
            </w:r>
          </w:p>
        </w:tc>
      </w:tr>
      <w:tr w:rsidR="00F55FDD" w:rsidRPr="00A4548C" w:rsidTr="00560B90">
        <w:trPr>
          <w:trHeight w:val="1984"/>
          <w:jc w:val="center"/>
        </w:trPr>
        <w:tc>
          <w:tcPr>
            <w:tcW w:w="399" w:type="pct"/>
          </w:tcPr>
          <w:p w:rsidR="00F55FDD" w:rsidRDefault="00F55FDD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15DA" w:rsidRDefault="002415DA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15DA" w:rsidRDefault="002415DA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5FDD" w:rsidRDefault="007D2D1C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13.11</w:t>
            </w:r>
            <w:r w:rsidR="00F55FDD">
              <w:rPr>
                <w:rFonts w:ascii="Times New Roman" w:eastAsia="Calibri" w:hAnsi="Times New Roman" w:cs="Times New Roman"/>
                <w:sz w:val="20"/>
                <w:szCs w:val="20"/>
              </w:rPr>
              <w:t>.2021</w:t>
            </w:r>
          </w:p>
          <w:p w:rsidR="00F55FDD" w:rsidRPr="00737795" w:rsidRDefault="00F55FDD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377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</w:t>
            </w:r>
            <w:r w:rsidR="00F31770" w:rsidRPr="007377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sobota</w:t>
            </w:r>
            <w:r w:rsidRPr="007377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484" w:type="pct"/>
          </w:tcPr>
          <w:p w:rsidR="00F55FDD" w:rsidRDefault="00F55FDD" w:rsidP="003730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6031D" w:rsidRDefault="00D6031D" w:rsidP="003730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415DA" w:rsidRDefault="002415DA" w:rsidP="003730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415DA" w:rsidRDefault="00B06627" w:rsidP="002415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9.00</w:t>
            </w:r>
            <w:r w:rsidR="00CB73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- 16.3</w:t>
            </w:r>
            <w:r w:rsidR="001536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  <w:p w:rsidR="00CE4E35" w:rsidRDefault="00CE4E35" w:rsidP="002415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6031D" w:rsidRDefault="00D6031D" w:rsidP="003730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6031D" w:rsidRPr="00D6031D" w:rsidRDefault="00D6031D" w:rsidP="003730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54" w:type="pct"/>
          </w:tcPr>
          <w:p w:rsidR="00D6031D" w:rsidRPr="00492E0C" w:rsidRDefault="00D6031D" w:rsidP="00D60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i/>
                <w:color w:val="000000" w:themeColor="text1"/>
              </w:rPr>
            </w:pPr>
            <w:r w:rsidRPr="00492E0C"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  <w:t xml:space="preserve">Moduł </w:t>
            </w:r>
            <w:r w:rsidR="00B06627"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  <w:t>X</w:t>
            </w:r>
            <w:r w:rsidRPr="00492E0C"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  <w:t xml:space="preserve"> </w:t>
            </w:r>
          </w:p>
          <w:p w:rsidR="00B06627" w:rsidRPr="00B06627" w:rsidRDefault="00B06627" w:rsidP="00B06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B06627">
              <w:rPr>
                <w:rFonts w:ascii="Times New Roman" w:hAnsi="Times New Roman" w:cs="Times New Roman"/>
              </w:rPr>
              <w:t>Sposoby leczenia nowotworów narządó</w:t>
            </w:r>
            <w:r>
              <w:rPr>
                <w:rFonts w:ascii="Times New Roman" w:hAnsi="Times New Roman" w:cs="Times New Roman"/>
              </w:rPr>
              <w:t xml:space="preserve">w płciowych żeńskich: </w:t>
            </w:r>
            <w:r w:rsidRPr="00B06627">
              <w:rPr>
                <w:rFonts w:ascii="Times New Roman" w:hAnsi="Times New Roman" w:cs="Times New Roman"/>
                <w:i/>
              </w:rPr>
              <w:t>(wykład 10</w:t>
            </w:r>
            <w:r w:rsidR="00CB736E">
              <w:rPr>
                <w:rFonts w:ascii="Times New Roman" w:hAnsi="Times New Roman" w:cs="Times New Roman"/>
                <w:i/>
              </w:rPr>
              <w:t> </w:t>
            </w:r>
            <w:r w:rsidRPr="00B06627">
              <w:rPr>
                <w:rFonts w:ascii="Times New Roman" w:hAnsi="Times New Roman" w:cs="Times New Roman"/>
                <w:i/>
              </w:rPr>
              <w:t xml:space="preserve">godz.)  </w:t>
            </w:r>
          </w:p>
          <w:p w:rsidR="00B06627" w:rsidRPr="00B06627" w:rsidRDefault="00B06627" w:rsidP="00B06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627">
              <w:rPr>
                <w:rFonts w:ascii="Times New Roman" w:hAnsi="Times New Roman" w:cs="Times New Roman"/>
              </w:rPr>
              <w:t xml:space="preserve">5.1.      Leczenie chirurgiczne: </w:t>
            </w:r>
          </w:p>
          <w:p w:rsidR="00B06627" w:rsidRPr="00B06627" w:rsidRDefault="00B06627" w:rsidP="00B06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627">
              <w:rPr>
                <w:rFonts w:ascii="Times New Roman" w:hAnsi="Times New Roman" w:cs="Times New Roman"/>
              </w:rPr>
              <w:t>5.1.1.   podział kliniczny i histopatologiczny nowotworów narządu rodnego kobiety, stopień ich</w:t>
            </w:r>
            <w:r w:rsidR="00CB736E">
              <w:rPr>
                <w:rFonts w:ascii="Times New Roman" w:hAnsi="Times New Roman" w:cs="Times New Roman"/>
              </w:rPr>
              <w:t xml:space="preserve"> </w:t>
            </w:r>
            <w:r w:rsidRPr="00B06627">
              <w:rPr>
                <w:rFonts w:ascii="Times New Roman" w:hAnsi="Times New Roman" w:cs="Times New Roman"/>
              </w:rPr>
              <w:t xml:space="preserve">zawansowania (według FIGO) a rozległość zabiegu operacyjnego; </w:t>
            </w:r>
          </w:p>
          <w:p w:rsidR="00B06627" w:rsidRPr="00B06627" w:rsidRDefault="00B06627" w:rsidP="00B06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627">
              <w:rPr>
                <w:rFonts w:ascii="Times New Roman" w:hAnsi="Times New Roman" w:cs="Times New Roman"/>
              </w:rPr>
              <w:t xml:space="preserve">5.1.2.   wskazania, przeciwwskazania; </w:t>
            </w:r>
          </w:p>
          <w:p w:rsidR="00B06627" w:rsidRPr="00B06627" w:rsidRDefault="00B06627" w:rsidP="00B06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627">
              <w:rPr>
                <w:rFonts w:ascii="Times New Roman" w:hAnsi="Times New Roman" w:cs="Times New Roman"/>
              </w:rPr>
              <w:t xml:space="preserve">5.1.3.   przygotowanie pacjentki do wybranego rodzaju (metody) operacji;  </w:t>
            </w:r>
          </w:p>
          <w:p w:rsidR="00B06627" w:rsidRPr="00B06627" w:rsidRDefault="00B06627" w:rsidP="00B06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627">
              <w:rPr>
                <w:rFonts w:ascii="Times New Roman" w:hAnsi="Times New Roman" w:cs="Times New Roman"/>
              </w:rPr>
              <w:t xml:space="preserve">5.1.4.   stosowanie aseptyki onkologicznej; </w:t>
            </w:r>
          </w:p>
          <w:p w:rsidR="00B06627" w:rsidRPr="00B06627" w:rsidRDefault="00B06627" w:rsidP="00B06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627">
              <w:rPr>
                <w:rFonts w:ascii="Times New Roman" w:hAnsi="Times New Roman" w:cs="Times New Roman"/>
              </w:rPr>
              <w:t xml:space="preserve">5.1.5.   powikłania śród- i pooperacyjne; </w:t>
            </w:r>
          </w:p>
          <w:p w:rsidR="00B06627" w:rsidRPr="00B06627" w:rsidRDefault="00B06627" w:rsidP="00B06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627">
              <w:rPr>
                <w:rFonts w:ascii="Times New Roman" w:hAnsi="Times New Roman" w:cs="Times New Roman"/>
              </w:rPr>
              <w:t xml:space="preserve">5.1.6.   postępowanie po wybranym zabiegu operacyjnym;  </w:t>
            </w:r>
          </w:p>
          <w:p w:rsidR="00B06627" w:rsidRPr="00B06627" w:rsidRDefault="00B06627" w:rsidP="00B06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627">
              <w:rPr>
                <w:rFonts w:ascii="Times New Roman" w:hAnsi="Times New Roman" w:cs="Times New Roman"/>
              </w:rPr>
              <w:t xml:space="preserve">5.1.7.   zalecenia co do dalszej terapii lub/i badań kontrolnych; </w:t>
            </w:r>
          </w:p>
          <w:p w:rsidR="00B06627" w:rsidRPr="00B06627" w:rsidRDefault="00B06627" w:rsidP="00B06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627">
              <w:rPr>
                <w:rFonts w:ascii="Times New Roman" w:hAnsi="Times New Roman" w:cs="Times New Roman"/>
              </w:rPr>
              <w:t xml:space="preserve">5.1.8.   wskazówki do domu dla pacjentki.  </w:t>
            </w:r>
          </w:p>
          <w:p w:rsidR="00B06627" w:rsidRPr="00B06627" w:rsidRDefault="00B06627" w:rsidP="00B06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627">
              <w:rPr>
                <w:rFonts w:ascii="Times New Roman" w:hAnsi="Times New Roman" w:cs="Times New Roman"/>
              </w:rPr>
              <w:t xml:space="preserve">5.2.      Radioterapia: </w:t>
            </w:r>
          </w:p>
          <w:p w:rsidR="00B06627" w:rsidRPr="00B06627" w:rsidRDefault="00B06627" w:rsidP="00B06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627">
              <w:rPr>
                <w:rFonts w:ascii="Times New Roman" w:hAnsi="Times New Roman" w:cs="Times New Roman"/>
              </w:rPr>
              <w:t xml:space="preserve">5.2.1.   udział radioterapii w leczeniu onkologicznym; </w:t>
            </w:r>
          </w:p>
          <w:p w:rsidR="00B06627" w:rsidRPr="00B06627" w:rsidRDefault="00CB736E" w:rsidP="00B06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5.2.2. </w:t>
            </w:r>
            <w:r w:rsidR="00B06627" w:rsidRPr="00B06627">
              <w:rPr>
                <w:rFonts w:ascii="Times New Roman" w:hAnsi="Times New Roman" w:cs="Times New Roman"/>
              </w:rPr>
              <w:t xml:space="preserve">podział ze względu na stan pacjenta (radioterapia radykalna, paliatywna, objawowa); </w:t>
            </w:r>
          </w:p>
          <w:p w:rsidR="00B06627" w:rsidRPr="00B06627" w:rsidRDefault="00B06627" w:rsidP="00B06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627">
              <w:rPr>
                <w:rFonts w:ascii="Times New Roman" w:hAnsi="Times New Roman" w:cs="Times New Roman"/>
              </w:rPr>
              <w:t xml:space="preserve">5.2.3.   podział ze względu na sposób napromieniania (brachyterapia – BTH,  </w:t>
            </w:r>
          </w:p>
          <w:p w:rsidR="00B06627" w:rsidRPr="00B06627" w:rsidRDefault="00B06627" w:rsidP="00B06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6627">
              <w:rPr>
                <w:rFonts w:ascii="Times New Roman" w:hAnsi="Times New Roman" w:cs="Times New Roman"/>
              </w:rPr>
              <w:t>teleradioterapia</w:t>
            </w:r>
            <w:proofErr w:type="spellEnd"/>
            <w:r w:rsidRPr="00B06627">
              <w:rPr>
                <w:rFonts w:ascii="Times New Roman" w:hAnsi="Times New Roman" w:cs="Times New Roman"/>
              </w:rPr>
              <w:t xml:space="preserve"> – RTH); </w:t>
            </w:r>
          </w:p>
          <w:p w:rsidR="00B06627" w:rsidRPr="00B06627" w:rsidRDefault="00CB736E" w:rsidP="00B06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5.2.4. fizyczne aspekty promieniowania </w:t>
            </w:r>
            <w:r w:rsidR="00B06627" w:rsidRPr="00B06627">
              <w:rPr>
                <w:rFonts w:ascii="Times New Roman" w:hAnsi="Times New Roman" w:cs="Times New Roman"/>
              </w:rPr>
              <w:t xml:space="preserve">(promieniowanie elektromagnetyczne, cząsteczkowe); </w:t>
            </w:r>
          </w:p>
          <w:p w:rsidR="00B06627" w:rsidRPr="00B06627" w:rsidRDefault="00B06627" w:rsidP="00B06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627">
              <w:rPr>
                <w:rFonts w:ascii="Times New Roman" w:hAnsi="Times New Roman" w:cs="Times New Roman"/>
              </w:rPr>
              <w:t xml:space="preserve">5.2.5.   mechanizm działania promieni na komórki; </w:t>
            </w:r>
          </w:p>
          <w:p w:rsidR="00B06627" w:rsidRPr="00B06627" w:rsidRDefault="00B06627" w:rsidP="00B06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627">
              <w:rPr>
                <w:rFonts w:ascii="Times New Roman" w:hAnsi="Times New Roman" w:cs="Times New Roman"/>
              </w:rPr>
              <w:t xml:space="preserve">5.2.6.   energia promieniowania: radioterapia konwencjonalna (aparaty rentgenowskie), radioterapia </w:t>
            </w:r>
          </w:p>
          <w:p w:rsidR="00DD3C49" w:rsidRDefault="00B06627" w:rsidP="00B06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627">
              <w:rPr>
                <w:rFonts w:ascii="Times New Roman" w:hAnsi="Times New Roman" w:cs="Times New Roman"/>
              </w:rPr>
              <w:lastRenderedPageBreak/>
              <w:t xml:space="preserve">megawoltowa (promieniowanie gamma, X, elektrony), brachyterapia (137 Cez, 192 Iryd);  </w:t>
            </w:r>
          </w:p>
          <w:p w:rsidR="00B06627" w:rsidRPr="00B06627" w:rsidRDefault="00F11047" w:rsidP="00B06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06627" w:rsidRPr="00B06627">
              <w:rPr>
                <w:rFonts w:ascii="Times New Roman" w:hAnsi="Times New Roman" w:cs="Times New Roman"/>
              </w:rPr>
              <w:t xml:space="preserve">.2.7.   organizacja procesu planowania radioterapii; </w:t>
            </w:r>
          </w:p>
          <w:p w:rsidR="00B06627" w:rsidRPr="00B06627" w:rsidRDefault="00F11047" w:rsidP="00B06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5.2.8.  </w:t>
            </w:r>
            <w:r w:rsidR="00B06627" w:rsidRPr="00B06627">
              <w:rPr>
                <w:rFonts w:ascii="Times New Roman" w:hAnsi="Times New Roman" w:cs="Times New Roman"/>
              </w:rPr>
              <w:t xml:space="preserve">standardy postępowania terapeutycznego w leczeniu z udziałem radioterapii nowotworów narządu </w:t>
            </w:r>
          </w:p>
          <w:p w:rsidR="00B06627" w:rsidRPr="00B06627" w:rsidRDefault="00B06627" w:rsidP="00B06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627">
              <w:rPr>
                <w:rFonts w:ascii="Times New Roman" w:hAnsi="Times New Roman" w:cs="Times New Roman"/>
              </w:rPr>
              <w:t xml:space="preserve">rodnego i gruczołu piersiowego (schemat radioterapii w leczeniu raka szyjki macicy, sromu, pochwy, jajnika, nowotworów piersi); </w:t>
            </w:r>
          </w:p>
          <w:p w:rsidR="00B06627" w:rsidRPr="00B06627" w:rsidRDefault="00B06627" w:rsidP="00B06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627">
              <w:rPr>
                <w:rFonts w:ascii="Times New Roman" w:hAnsi="Times New Roman" w:cs="Times New Roman"/>
              </w:rPr>
              <w:t xml:space="preserve">5.2.9.   strategia leczenia skojarzonego: leczenie sekwencyjne (indukcyjne, uzupełniające), </w:t>
            </w:r>
          </w:p>
          <w:p w:rsidR="00B06627" w:rsidRPr="00B06627" w:rsidRDefault="00B06627" w:rsidP="00B06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627">
              <w:rPr>
                <w:rFonts w:ascii="Times New Roman" w:hAnsi="Times New Roman" w:cs="Times New Roman"/>
              </w:rPr>
              <w:t xml:space="preserve">równoczasowe, naprzemienne; </w:t>
            </w:r>
          </w:p>
          <w:p w:rsidR="00B06627" w:rsidRPr="00B06627" w:rsidRDefault="00B06627" w:rsidP="00B06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627">
              <w:rPr>
                <w:rFonts w:ascii="Times New Roman" w:hAnsi="Times New Roman" w:cs="Times New Roman"/>
              </w:rPr>
              <w:t xml:space="preserve">5.2.10.  kliniczne korzyści leczenia skojarzonego.      </w:t>
            </w:r>
          </w:p>
          <w:p w:rsidR="00B06627" w:rsidRPr="00B06627" w:rsidRDefault="00B06627" w:rsidP="00B06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627">
              <w:rPr>
                <w:rFonts w:ascii="Times New Roman" w:hAnsi="Times New Roman" w:cs="Times New Roman"/>
              </w:rPr>
              <w:t xml:space="preserve">5.3.       Chemioterapia: </w:t>
            </w:r>
          </w:p>
          <w:p w:rsidR="00B06627" w:rsidRPr="00B06627" w:rsidRDefault="00B06627" w:rsidP="00B06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627">
              <w:rPr>
                <w:rFonts w:ascii="Times New Roman" w:hAnsi="Times New Roman" w:cs="Times New Roman"/>
              </w:rPr>
              <w:t xml:space="preserve">5.3.1.   wskazania, przeciwwskazania; </w:t>
            </w:r>
          </w:p>
          <w:p w:rsidR="00B06627" w:rsidRPr="00B06627" w:rsidRDefault="00394DB3" w:rsidP="00B06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5.3.2.  </w:t>
            </w:r>
            <w:r w:rsidR="00B06627" w:rsidRPr="00B06627">
              <w:rPr>
                <w:rFonts w:ascii="Times New Roman" w:hAnsi="Times New Roman" w:cs="Times New Roman"/>
              </w:rPr>
              <w:t xml:space="preserve">podział leków przeciwnowotworowych (zależne od fazy cyklu komórkowego – antymetabolity, </w:t>
            </w:r>
          </w:p>
          <w:p w:rsidR="00B06627" w:rsidRPr="00B06627" w:rsidRDefault="00B06627" w:rsidP="00B06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627">
              <w:rPr>
                <w:rFonts w:ascii="Times New Roman" w:hAnsi="Times New Roman" w:cs="Times New Roman"/>
              </w:rPr>
              <w:t xml:space="preserve">alkaloidy barwnika, </w:t>
            </w:r>
            <w:proofErr w:type="spellStart"/>
            <w:r w:rsidRPr="00B06627">
              <w:rPr>
                <w:rFonts w:ascii="Times New Roman" w:hAnsi="Times New Roman" w:cs="Times New Roman"/>
              </w:rPr>
              <w:t>taksoidy</w:t>
            </w:r>
            <w:proofErr w:type="spellEnd"/>
            <w:r w:rsidRPr="00B06627">
              <w:rPr>
                <w:rFonts w:ascii="Times New Roman" w:hAnsi="Times New Roman" w:cs="Times New Roman"/>
              </w:rPr>
              <w:t xml:space="preserve">, niezależne od fazy cyklu komórkowego – leki alkilujące); </w:t>
            </w:r>
          </w:p>
          <w:p w:rsidR="00B06627" w:rsidRPr="00B06627" w:rsidRDefault="00B06627" w:rsidP="00B06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627">
              <w:rPr>
                <w:rFonts w:ascii="Times New Roman" w:hAnsi="Times New Roman" w:cs="Times New Roman"/>
              </w:rPr>
              <w:t xml:space="preserve">5.3.3.   schematy leczenia cytostatykami nowotworów narządu rodnego (indukcyjna, uzupełniająca, jednoczesna, radykalna, regionalna, paliatywna); </w:t>
            </w:r>
          </w:p>
          <w:p w:rsidR="00B06627" w:rsidRPr="00B06627" w:rsidRDefault="00B06627" w:rsidP="00B06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627">
              <w:rPr>
                <w:rFonts w:ascii="Times New Roman" w:hAnsi="Times New Roman" w:cs="Times New Roman"/>
              </w:rPr>
              <w:t xml:space="preserve">5.3.4.   drogi podawania leków: doustna, podskórna, domięśniowa, dożylna (iniekcje, wlewy), </w:t>
            </w:r>
          </w:p>
          <w:p w:rsidR="00B06627" w:rsidRPr="00B06627" w:rsidRDefault="00B06627" w:rsidP="00B06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627">
              <w:rPr>
                <w:rFonts w:ascii="Times New Roman" w:hAnsi="Times New Roman" w:cs="Times New Roman"/>
              </w:rPr>
              <w:t xml:space="preserve">doopłucnowa, dokanałowa, </w:t>
            </w:r>
            <w:proofErr w:type="spellStart"/>
            <w:r w:rsidRPr="00B06627">
              <w:rPr>
                <w:rFonts w:ascii="Times New Roman" w:hAnsi="Times New Roman" w:cs="Times New Roman"/>
              </w:rPr>
              <w:t>dopęcherzowa</w:t>
            </w:r>
            <w:proofErr w:type="spellEnd"/>
            <w:r w:rsidRPr="00B06627">
              <w:rPr>
                <w:rFonts w:ascii="Times New Roman" w:hAnsi="Times New Roman" w:cs="Times New Roman"/>
              </w:rPr>
              <w:t xml:space="preserve">, dootrzewnowa, </w:t>
            </w:r>
            <w:proofErr w:type="spellStart"/>
            <w:r w:rsidRPr="00B06627">
              <w:rPr>
                <w:rFonts w:ascii="Times New Roman" w:hAnsi="Times New Roman" w:cs="Times New Roman"/>
              </w:rPr>
              <w:t>doosierdziowa</w:t>
            </w:r>
            <w:proofErr w:type="spellEnd"/>
            <w:r w:rsidRPr="00B06627">
              <w:rPr>
                <w:rFonts w:ascii="Times New Roman" w:hAnsi="Times New Roman" w:cs="Times New Roman"/>
              </w:rPr>
              <w:t xml:space="preserve">: </w:t>
            </w:r>
          </w:p>
          <w:p w:rsidR="00B06627" w:rsidRPr="00B06627" w:rsidRDefault="00B06627" w:rsidP="00B06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627">
              <w:rPr>
                <w:rFonts w:ascii="Times New Roman" w:hAnsi="Times New Roman" w:cs="Times New Roman"/>
              </w:rPr>
              <w:t xml:space="preserve">5.3.5.   przygotowanie pacjentki do chemioterapii (psychiczne, fizyczne, farmakologiczne); </w:t>
            </w:r>
          </w:p>
          <w:p w:rsidR="00B06627" w:rsidRPr="00B06627" w:rsidRDefault="00B06627" w:rsidP="00B06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627">
              <w:rPr>
                <w:rFonts w:ascii="Times New Roman" w:hAnsi="Times New Roman" w:cs="Times New Roman"/>
              </w:rPr>
              <w:t xml:space="preserve">5.3.6.   opieka nad pacjentką w okresie chemioterapii; </w:t>
            </w:r>
          </w:p>
          <w:p w:rsidR="00B06627" w:rsidRPr="00B06627" w:rsidRDefault="00B06627" w:rsidP="00B06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627">
              <w:rPr>
                <w:rFonts w:ascii="Times New Roman" w:hAnsi="Times New Roman" w:cs="Times New Roman"/>
              </w:rPr>
              <w:t xml:space="preserve">5.3.7.   profilaktyka i leczenie powikłań chemioterapii; </w:t>
            </w:r>
          </w:p>
          <w:p w:rsidR="00B06627" w:rsidRPr="00B06627" w:rsidRDefault="00B06627" w:rsidP="00B06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627">
              <w:rPr>
                <w:rFonts w:ascii="Times New Roman" w:hAnsi="Times New Roman" w:cs="Times New Roman"/>
              </w:rPr>
              <w:t xml:space="preserve">5.3.8.   opieka nad pacjentką pomiędzy kolejnymi cyklami chemioterapii. </w:t>
            </w:r>
          </w:p>
          <w:p w:rsidR="00B06627" w:rsidRPr="00492E0C" w:rsidRDefault="00B06627" w:rsidP="00B06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6627">
              <w:rPr>
                <w:rFonts w:ascii="Times New Roman" w:hAnsi="Times New Roman" w:cs="Times New Roman"/>
              </w:rPr>
              <w:t>5.4.      Immunoterapia.</w:t>
            </w:r>
          </w:p>
        </w:tc>
        <w:tc>
          <w:tcPr>
            <w:tcW w:w="447" w:type="pct"/>
          </w:tcPr>
          <w:p w:rsidR="00F55FDD" w:rsidRPr="00CB736E" w:rsidRDefault="00F55FDD" w:rsidP="00E55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1D1C2F" w:rsidRPr="00CB736E" w:rsidRDefault="001D1C2F" w:rsidP="00E55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1D1C2F" w:rsidRPr="00CB736E" w:rsidRDefault="001D1C2F" w:rsidP="00E55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B736E">
              <w:rPr>
                <w:rFonts w:ascii="Times New Roman" w:eastAsia="Calibri" w:hAnsi="Times New Roman" w:cs="Times New Roman"/>
                <w:lang w:val="en-US"/>
              </w:rPr>
              <w:t>Dr</w:t>
            </w:r>
            <w:proofErr w:type="spellEnd"/>
            <w:r w:rsidRPr="00CB736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B06627" w:rsidRPr="00CB736E">
              <w:rPr>
                <w:rFonts w:ascii="Times New Roman" w:eastAsia="Calibri" w:hAnsi="Times New Roman" w:cs="Times New Roman"/>
                <w:lang w:val="en-US"/>
              </w:rPr>
              <w:t xml:space="preserve">n. med. Robert </w:t>
            </w:r>
            <w:proofErr w:type="spellStart"/>
            <w:r w:rsidR="00B06627" w:rsidRPr="00CB736E">
              <w:rPr>
                <w:rFonts w:ascii="Times New Roman" w:eastAsia="Calibri" w:hAnsi="Times New Roman" w:cs="Times New Roman"/>
                <w:lang w:val="en-US"/>
              </w:rPr>
              <w:t>Łuczyk</w:t>
            </w:r>
            <w:proofErr w:type="spellEnd"/>
          </w:p>
        </w:tc>
        <w:tc>
          <w:tcPr>
            <w:tcW w:w="602" w:type="pct"/>
          </w:tcPr>
          <w:p w:rsidR="0064367D" w:rsidRPr="00B06627" w:rsidRDefault="0064367D" w:rsidP="00E55FCB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  <w:p w:rsidR="00CB736E" w:rsidRPr="007D2D1C" w:rsidRDefault="00CB736E" w:rsidP="00E55FCB">
            <w:pPr>
              <w:spacing w:after="0" w:line="240" w:lineRule="exact"/>
              <w:ind w:left="-10" w:firstLine="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2D1C">
              <w:rPr>
                <w:rFonts w:ascii="Times New Roman" w:hAnsi="Times New Roman" w:cs="Times New Roman"/>
                <w:lang w:val="en-US"/>
              </w:rPr>
              <w:t>Aula</w:t>
            </w:r>
          </w:p>
          <w:p w:rsidR="001D1C2F" w:rsidRDefault="00CB736E" w:rsidP="00E55FCB">
            <w:pPr>
              <w:spacing w:after="0" w:line="240" w:lineRule="exact"/>
              <w:ind w:left="-10" w:firstLine="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736E">
              <w:rPr>
                <w:rFonts w:ascii="Times New Roman" w:hAnsi="Times New Roman" w:cs="Times New Roman"/>
                <w:lang w:val="en-US"/>
              </w:rPr>
              <w:t xml:space="preserve">Collegium </w:t>
            </w:r>
            <w:proofErr w:type="spellStart"/>
            <w:r w:rsidRPr="00CB736E">
              <w:rPr>
                <w:rFonts w:ascii="Times New Roman" w:hAnsi="Times New Roman" w:cs="Times New Roman"/>
                <w:lang w:val="en-US"/>
              </w:rPr>
              <w:t>Pharmaceuticum</w:t>
            </w:r>
            <w:proofErr w:type="spellEnd"/>
            <w:r w:rsidRPr="00CB73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B736E"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 w:rsidRPr="00CB736E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CB736E">
              <w:rPr>
                <w:rFonts w:ascii="Times New Roman" w:hAnsi="Times New Roman" w:cs="Times New Roman"/>
                <w:lang w:val="en-US"/>
              </w:rPr>
              <w:t>Chodźki</w:t>
            </w:r>
            <w:proofErr w:type="spellEnd"/>
            <w:r w:rsidRPr="00CB736E">
              <w:rPr>
                <w:rFonts w:ascii="Times New Roman" w:hAnsi="Times New Roman" w:cs="Times New Roman"/>
                <w:lang w:val="en-US"/>
              </w:rPr>
              <w:t xml:space="preserve"> 4 A</w:t>
            </w:r>
          </w:p>
          <w:p w:rsidR="00F95441" w:rsidRPr="00CB736E" w:rsidRDefault="00F95441" w:rsidP="00E55FCB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Lublin</w:t>
            </w:r>
          </w:p>
          <w:p w:rsidR="001D1C2F" w:rsidRPr="00CB736E" w:rsidRDefault="001D1C2F" w:rsidP="00E55FCB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  <w:p w:rsidR="001D1C2F" w:rsidRPr="00CB736E" w:rsidRDefault="001D1C2F" w:rsidP="00E55FCB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  <w:p w:rsidR="001D1C2F" w:rsidRPr="00B06627" w:rsidRDefault="001D1C2F" w:rsidP="00E55FCB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:rsidR="00F55FDD" w:rsidRPr="00B06627" w:rsidRDefault="00F55FDD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D6031D" w:rsidRPr="00B06627" w:rsidRDefault="00D6031D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DD3C49" w:rsidRPr="00B06627" w:rsidRDefault="00DD3C49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DD3C49" w:rsidRPr="00B06627" w:rsidRDefault="00DD3C49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D6031D" w:rsidRPr="00A4548C" w:rsidRDefault="001D1C2F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Wykład</w:t>
            </w:r>
            <w:r w:rsidR="00D60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</w:tcPr>
          <w:p w:rsidR="00F55FDD" w:rsidRDefault="00F55FDD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031D" w:rsidRDefault="00D6031D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3C49" w:rsidRDefault="00DD3C49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3C49" w:rsidRDefault="00DD3C49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031D" w:rsidRPr="00A4548C" w:rsidRDefault="00B06627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D60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godz.</w:t>
            </w:r>
          </w:p>
        </w:tc>
      </w:tr>
    </w:tbl>
    <w:p w:rsidR="00B02ABC" w:rsidRPr="00F11047" w:rsidRDefault="00274240">
      <w:pPr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0436AC">
        <w:rPr>
          <w:rFonts w:ascii="Times New Roman" w:eastAsia="Calibri" w:hAnsi="Times New Roman" w:cs="Times New Roman"/>
          <w:b/>
        </w:rPr>
        <w:t xml:space="preserve">UWAGA: SAMOKSZTAŁCENIE REALIZUJE SŁUCHACZ W OPARCIU O ANALIZĘ LITERATURY PRZEDMIOTU ZALECONĄ PRZEZ WYKŁADOWCĘ oraz </w:t>
      </w:r>
      <w:proofErr w:type="spellStart"/>
      <w:r w:rsidRPr="000436AC">
        <w:rPr>
          <w:rFonts w:ascii="Times New Roman" w:eastAsia="Calibri" w:hAnsi="Times New Roman" w:cs="Times New Roman"/>
          <w:b/>
        </w:rPr>
        <w:t>CKPPiP</w:t>
      </w:r>
      <w:proofErr w:type="spellEnd"/>
      <w:r w:rsidRPr="000436AC">
        <w:rPr>
          <w:rFonts w:ascii="Times New Roman" w:eastAsia="Calibri" w:hAnsi="Times New Roman" w:cs="Times New Roman"/>
          <w:b/>
        </w:rPr>
        <w:t xml:space="preserve"> (</w:t>
      </w:r>
      <w:r w:rsidRPr="000436AC">
        <w:rPr>
          <w:rFonts w:ascii="Times New Roman" w:eastAsia="Calibri" w:hAnsi="Times New Roman" w:cs="Times New Roman"/>
          <w:b/>
          <w:i/>
        </w:rPr>
        <w:t>w programie specjalizacji na końcu każdego modułu)</w:t>
      </w:r>
    </w:p>
    <w:sectPr w:rsidR="00B02ABC" w:rsidRPr="00F11047" w:rsidSect="00A4548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1AE" w:rsidRDefault="006B51AE" w:rsidP="006B51AE">
      <w:pPr>
        <w:spacing w:after="0" w:line="240" w:lineRule="auto"/>
      </w:pPr>
      <w:r>
        <w:separator/>
      </w:r>
    </w:p>
  </w:endnote>
  <w:endnote w:type="continuationSeparator" w:id="0">
    <w:p w:rsidR="006B51AE" w:rsidRDefault="006B51AE" w:rsidP="006B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1AE" w:rsidRDefault="006B51AE" w:rsidP="006B51AE"/>
  <w:p w:rsidR="006B51AE" w:rsidRDefault="006B51AE" w:rsidP="006B51AE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eastAsia="pl-PL"/>
      </w:rPr>
    </w:pPr>
    <w:r>
      <w:rPr>
        <w:rFonts w:ascii="Arial" w:eastAsiaTheme="minorEastAsia" w:hAnsi="Arial" w:cs="Arial"/>
        <w:sz w:val="20"/>
        <w:szCs w:val="20"/>
        <w:lang w:eastAsia="pl-PL"/>
      </w:rPr>
      <w:t>Uniwersytet Medyczny w Lublinie - Centrum Kształcenia Podyplomowego</w:t>
    </w:r>
  </w:p>
  <w:p w:rsidR="006B51AE" w:rsidRDefault="006B51AE" w:rsidP="006B51AE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val="en-US" w:eastAsia="pl-PL"/>
      </w:rPr>
    </w:pPr>
    <w:proofErr w:type="spellStart"/>
    <w:r>
      <w:rPr>
        <w:rFonts w:ascii="Arial" w:eastAsiaTheme="minorEastAsia" w:hAnsi="Arial" w:cs="Arial"/>
        <w:sz w:val="20"/>
        <w:szCs w:val="20"/>
        <w:lang w:val="en-US" w:eastAsia="pl-PL"/>
      </w:rPr>
      <w:t>ul</w:t>
    </w:r>
    <w:proofErr w:type="spellEnd"/>
    <w:r>
      <w:rPr>
        <w:rFonts w:ascii="Arial" w:eastAsiaTheme="minorEastAsia" w:hAnsi="Arial" w:cs="Arial"/>
        <w:sz w:val="20"/>
        <w:szCs w:val="20"/>
        <w:lang w:val="en-US" w:eastAsia="pl-PL"/>
      </w:rPr>
      <w:t xml:space="preserve">. W. </w:t>
    </w:r>
    <w:proofErr w:type="spellStart"/>
    <w:r>
      <w:rPr>
        <w:rFonts w:ascii="Arial" w:eastAsiaTheme="minorEastAsia" w:hAnsi="Arial" w:cs="Arial"/>
        <w:sz w:val="20"/>
        <w:szCs w:val="20"/>
        <w:lang w:val="en-US" w:eastAsia="pl-PL"/>
      </w:rPr>
      <w:t>Chodźki</w:t>
    </w:r>
    <w:proofErr w:type="spellEnd"/>
    <w:r>
      <w:rPr>
        <w:rFonts w:ascii="Arial" w:eastAsiaTheme="minorEastAsia" w:hAnsi="Arial" w:cs="Arial"/>
        <w:sz w:val="20"/>
        <w:szCs w:val="20"/>
        <w:lang w:val="en-US" w:eastAsia="pl-PL"/>
      </w:rPr>
      <w:t xml:space="preserve"> 7, 20-093 Lublin</w:t>
    </w:r>
  </w:p>
  <w:p w:rsidR="006B51AE" w:rsidRDefault="006B51AE" w:rsidP="006B51AE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val="en-US" w:eastAsia="pl-PL"/>
      </w:rPr>
    </w:pPr>
    <w:r>
      <w:rPr>
        <w:rFonts w:ascii="Arial" w:eastAsiaTheme="minorEastAsia" w:hAnsi="Arial" w:cs="Arial"/>
        <w:sz w:val="20"/>
        <w:szCs w:val="20"/>
        <w:lang w:val="en-US" w:eastAsia="pl-PL"/>
      </w:rPr>
      <w:t>tel. 814485120, e-mail: ckp@umlub.pl</w:t>
    </w:r>
  </w:p>
  <w:p w:rsidR="006B51AE" w:rsidRPr="0006648A" w:rsidRDefault="006B51AE" w:rsidP="006B51AE">
    <w:pPr>
      <w:pStyle w:val="Stopka"/>
      <w:rPr>
        <w:lang w:val="en-US"/>
      </w:rPr>
    </w:pPr>
  </w:p>
  <w:p w:rsidR="006B51AE" w:rsidRPr="006B51AE" w:rsidRDefault="006B51A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1AE" w:rsidRDefault="006B51AE" w:rsidP="006B51AE">
      <w:pPr>
        <w:spacing w:after="0" w:line="240" w:lineRule="auto"/>
      </w:pPr>
      <w:r>
        <w:separator/>
      </w:r>
    </w:p>
  </w:footnote>
  <w:footnote w:type="continuationSeparator" w:id="0">
    <w:p w:rsidR="006B51AE" w:rsidRDefault="006B51AE" w:rsidP="006B5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51396"/>
    <w:multiLevelType w:val="hybridMultilevel"/>
    <w:tmpl w:val="30BCFE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7B07FE"/>
    <w:multiLevelType w:val="hybridMultilevel"/>
    <w:tmpl w:val="B76670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3C680F"/>
    <w:multiLevelType w:val="hybridMultilevel"/>
    <w:tmpl w:val="E4EE2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03C49"/>
    <w:multiLevelType w:val="hybridMultilevel"/>
    <w:tmpl w:val="054696D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30684C"/>
    <w:multiLevelType w:val="hybridMultilevel"/>
    <w:tmpl w:val="DC52E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C3"/>
    <w:rsid w:val="000305B5"/>
    <w:rsid w:val="000333BD"/>
    <w:rsid w:val="0004501B"/>
    <w:rsid w:val="00051598"/>
    <w:rsid w:val="000A03C8"/>
    <w:rsid w:val="0013691A"/>
    <w:rsid w:val="001536F9"/>
    <w:rsid w:val="001719B3"/>
    <w:rsid w:val="001A6E9A"/>
    <w:rsid w:val="001D1C2F"/>
    <w:rsid w:val="002150ED"/>
    <w:rsid w:val="002415DA"/>
    <w:rsid w:val="00245CE5"/>
    <w:rsid w:val="00274240"/>
    <w:rsid w:val="00373CD9"/>
    <w:rsid w:val="00394DB3"/>
    <w:rsid w:val="003F14DF"/>
    <w:rsid w:val="00464AD5"/>
    <w:rsid w:val="00492E0C"/>
    <w:rsid w:val="004A374B"/>
    <w:rsid w:val="004C3D40"/>
    <w:rsid w:val="004E19C3"/>
    <w:rsid w:val="00512EDA"/>
    <w:rsid w:val="00555553"/>
    <w:rsid w:val="00560B90"/>
    <w:rsid w:val="005661C7"/>
    <w:rsid w:val="00592675"/>
    <w:rsid w:val="006112F1"/>
    <w:rsid w:val="0064367D"/>
    <w:rsid w:val="006B4CEF"/>
    <w:rsid w:val="006B51AE"/>
    <w:rsid w:val="006C4810"/>
    <w:rsid w:val="00737795"/>
    <w:rsid w:val="00737F8A"/>
    <w:rsid w:val="007605D7"/>
    <w:rsid w:val="007A1FFD"/>
    <w:rsid w:val="007D2D1C"/>
    <w:rsid w:val="007F009B"/>
    <w:rsid w:val="00817252"/>
    <w:rsid w:val="00895301"/>
    <w:rsid w:val="00981F1F"/>
    <w:rsid w:val="009A42C4"/>
    <w:rsid w:val="00A22D26"/>
    <w:rsid w:val="00A4548C"/>
    <w:rsid w:val="00A73B7D"/>
    <w:rsid w:val="00AC1C3F"/>
    <w:rsid w:val="00B02ABC"/>
    <w:rsid w:val="00B06627"/>
    <w:rsid w:val="00B260FB"/>
    <w:rsid w:val="00B316B1"/>
    <w:rsid w:val="00C01ED5"/>
    <w:rsid w:val="00C16A22"/>
    <w:rsid w:val="00CB736E"/>
    <w:rsid w:val="00CE4E35"/>
    <w:rsid w:val="00D6031D"/>
    <w:rsid w:val="00DD3C49"/>
    <w:rsid w:val="00E14605"/>
    <w:rsid w:val="00E166BB"/>
    <w:rsid w:val="00EE007D"/>
    <w:rsid w:val="00F11047"/>
    <w:rsid w:val="00F31770"/>
    <w:rsid w:val="00F55FDD"/>
    <w:rsid w:val="00F95441"/>
    <w:rsid w:val="00FA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05169-1D55-4389-8367-BE487A52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48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719B3"/>
  </w:style>
  <w:style w:type="paragraph" w:styleId="Nagwek">
    <w:name w:val="header"/>
    <w:basedOn w:val="Normalny"/>
    <w:link w:val="NagwekZnak"/>
    <w:uiPriority w:val="99"/>
    <w:unhideWhenUsed/>
    <w:rsid w:val="006B5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1AE"/>
  </w:style>
  <w:style w:type="paragraph" w:styleId="Stopka">
    <w:name w:val="footer"/>
    <w:basedOn w:val="Normalny"/>
    <w:link w:val="StopkaZnak"/>
    <w:uiPriority w:val="99"/>
    <w:unhideWhenUsed/>
    <w:rsid w:val="006B5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grazynastadnicka</dc:creator>
  <cp:keywords/>
  <dc:description/>
  <cp:lastModifiedBy>katarzynabarcikowsk</cp:lastModifiedBy>
  <cp:revision>11</cp:revision>
  <dcterms:created xsi:type="dcterms:W3CDTF">2021-11-04T10:10:00Z</dcterms:created>
  <dcterms:modified xsi:type="dcterms:W3CDTF">2021-11-17T12:58:00Z</dcterms:modified>
</cp:coreProperties>
</file>